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E532" w14:textId="77777777" w:rsidR="008F240F" w:rsidRDefault="008F240F">
      <w:pPr>
        <w:spacing w:before="600" w:after="600"/>
      </w:pPr>
    </w:p>
    <w:p w14:paraId="70718F98" w14:textId="77777777" w:rsidR="008F240F" w:rsidRDefault="00000000">
      <w:pPr>
        <w:spacing w:after="120"/>
        <w:jc w:val="center"/>
      </w:pPr>
      <w:r>
        <w:rPr>
          <w:b/>
          <w:bCs/>
          <w:color w:val="2E75B6"/>
          <w:sz w:val="28"/>
          <w:szCs w:val="28"/>
        </w:rPr>
        <w:t>STRATEGIC FRAMEWORK</w:t>
      </w:r>
    </w:p>
    <w:p w14:paraId="4F9EB1A7" w14:textId="77777777" w:rsidR="008F240F" w:rsidRDefault="00000000">
      <w:pPr>
        <w:pBdr>
          <w:bottom w:val="single" w:sz="8" w:space="4" w:color="2E75B6"/>
        </w:pBdr>
        <w:spacing w:after="200"/>
        <w:jc w:val="center"/>
      </w:pPr>
      <w:r>
        <w:rPr>
          <w:b/>
          <w:bCs/>
          <w:color w:val="1B3A5C"/>
          <w:sz w:val="44"/>
          <w:szCs w:val="44"/>
        </w:rPr>
        <w:t>Prediction Machines, Creative Destruction, and the Productivity J-Curve</w:t>
      </w:r>
    </w:p>
    <w:p w14:paraId="16124231" w14:textId="77777777" w:rsidR="008F240F" w:rsidRDefault="008F240F">
      <w:pPr>
        <w:spacing w:before="80" w:after="80"/>
      </w:pPr>
    </w:p>
    <w:p w14:paraId="55820234" w14:textId="77777777" w:rsidR="008F240F" w:rsidRDefault="00000000">
      <w:pPr>
        <w:spacing w:after="60"/>
        <w:jc w:val="center"/>
      </w:pPr>
      <w:r>
        <w:rPr>
          <w:i/>
          <w:iCs/>
          <w:color w:val="666666"/>
          <w:sz w:val="26"/>
          <w:szCs w:val="26"/>
        </w:rPr>
        <w:t>A Schumpeterian Model for Managing AI Investment and Capturing Long-Term Value</w:t>
      </w:r>
    </w:p>
    <w:p w14:paraId="779B6BC4" w14:textId="77777777" w:rsidR="008F240F" w:rsidRDefault="008F240F">
      <w:pPr>
        <w:spacing w:before="300" w:after="300"/>
      </w:pPr>
    </w:p>
    <w:p w14:paraId="2082271B" w14:textId="77777777" w:rsidR="008F240F" w:rsidRDefault="00000000">
      <w:pPr>
        <w:spacing w:after="60"/>
        <w:jc w:val="center"/>
      </w:pPr>
      <w:r>
        <w:rPr>
          <w:color w:val="666666"/>
        </w:rPr>
        <w:t>February 2026</w:t>
      </w:r>
    </w:p>
    <w:p w14:paraId="3C22F5AD" w14:textId="77777777" w:rsidR="008F240F" w:rsidRDefault="00000000">
      <w:pPr>
        <w:spacing w:after="60"/>
        <w:jc w:val="center"/>
      </w:pPr>
      <w:r>
        <w:rPr>
          <w:color w:val="666666"/>
        </w:rPr>
        <w:t>Prepared for Executive Leadership</w:t>
      </w:r>
    </w:p>
    <w:p w14:paraId="2437B089" w14:textId="77777777" w:rsidR="008F240F" w:rsidRDefault="00000000">
      <w:pPr>
        <w:pStyle w:val="Heading1"/>
      </w:pPr>
      <w:r>
        <w:t xml:space="preserve">1. The Strategic Choice: What Do You Do </w:t>
      </w:r>
      <w:proofErr w:type="gramStart"/>
      <w:r>
        <w:t>With</w:t>
      </w:r>
      <w:proofErr w:type="gramEnd"/>
      <w:r>
        <w:t xml:space="preserve"> the Gains?</w:t>
      </w:r>
    </w:p>
    <w:p w14:paraId="077C4493" w14:textId="3365ABBA" w:rsidR="008F240F" w:rsidRDefault="00000000">
      <w:pPr>
        <w:spacing w:before="80" w:after="80" w:line="276" w:lineRule="auto"/>
      </w:pPr>
      <w:r>
        <w:rPr>
          <w:color w:val="333333"/>
        </w:rPr>
        <w:t>Companies that successfully deploy AI face a consequential strategic decision, one that will shape their competitive trajectory for years to come. The question is deceptively simple: once AI delivers measurable efficiency gains, do you harvest those gains as cost savings</w:t>
      </w:r>
      <w:r w:rsidR="003020CD">
        <w:rPr>
          <w:color w:val="333333"/>
        </w:rPr>
        <w:t xml:space="preserve">, </w:t>
      </w:r>
      <w:proofErr w:type="gramStart"/>
      <w:r w:rsidR="003020CD">
        <w:rPr>
          <w:color w:val="333333"/>
        </w:rPr>
        <w:t>in particular reduce</w:t>
      </w:r>
      <w:proofErr w:type="gramEnd"/>
      <w:r w:rsidR="003020CD">
        <w:rPr>
          <w:color w:val="333333"/>
        </w:rPr>
        <w:t xml:space="preserve"> employment</w:t>
      </w:r>
      <w:r>
        <w:rPr>
          <w:color w:val="333333"/>
        </w:rPr>
        <w:t xml:space="preserve"> or reinvest </w:t>
      </w:r>
      <w:r w:rsidR="007F7F7D">
        <w:rPr>
          <w:color w:val="333333"/>
        </w:rPr>
        <w:t>those gains</w:t>
      </w:r>
      <w:r>
        <w:rPr>
          <w:color w:val="333333"/>
        </w:rPr>
        <w:t xml:space="preserve"> to grow</w:t>
      </w:r>
      <w:r w:rsidR="007F7F7D">
        <w:rPr>
          <w:color w:val="333333"/>
        </w:rPr>
        <w:t xml:space="preserve"> market share or to </w:t>
      </w:r>
      <w:proofErr w:type="gramStart"/>
      <w:r w:rsidR="007F7F7D">
        <w:rPr>
          <w:color w:val="333333"/>
        </w:rPr>
        <w:t>enter into</w:t>
      </w:r>
      <w:proofErr w:type="gramEnd"/>
      <w:r w:rsidR="007F7F7D">
        <w:rPr>
          <w:color w:val="333333"/>
        </w:rPr>
        <w:t xml:space="preserve"> new markets</w:t>
      </w:r>
      <w:r>
        <w:rPr>
          <w:color w:val="333333"/>
        </w:rPr>
        <w:t>?</w:t>
      </w:r>
    </w:p>
    <w:p w14:paraId="455F75D9" w14:textId="77777777" w:rsidR="008F240F" w:rsidRDefault="00000000">
      <w:pPr>
        <w:spacing w:before="80" w:after="80" w:line="276" w:lineRule="auto"/>
      </w:pPr>
      <w:r>
        <w:rPr>
          <w:color w:val="333333"/>
        </w:rPr>
        <w:t>The first path is the efficiency capture strategy. A firm uses AI to reduce operating costs, maintain its current market position, and return the savings to shareholders as improved margins, dividends, or buybacks. The second path is the growth reinvestment strategy. A firm uses AI to do more with its existing resource base, expanding market share, deepening customer relationships through vertical and horizontal integration, or entering adjacent markets and entirely new businesses.</w:t>
      </w:r>
    </w:p>
    <w:p w14:paraId="7A38D361" w14:textId="366AE565" w:rsidR="008F240F" w:rsidRDefault="00000000">
      <w:pPr>
        <w:spacing w:before="80" w:after="80" w:line="276" w:lineRule="auto"/>
      </w:pPr>
      <w:r>
        <w:rPr>
          <w:color w:val="333333"/>
        </w:rPr>
        <w:t>Both strategies are rational. Both can create value. But the correct choice depends on a factor that most AI strategy discussions ignore entirely: the degree of monopoly power the firm currently holds. This paper argues that the answer to this question is best understood through the economics of Joseph Schumpeter, informed by MIT’s empirical research on the AI productivity J-curve, and clarified by a simple but powerful reframing: what we commonly call “Artificial Intelligence” is, at its economic core, a machine</w:t>
      </w:r>
      <w:r w:rsidR="007F7F7D">
        <w:rPr>
          <w:color w:val="333333"/>
        </w:rPr>
        <w:t xml:space="preserve"> prediction</w:t>
      </w:r>
      <w:r>
        <w:rPr>
          <w:color w:val="333333"/>
        </w:rPr>
        <w:t>.</w:t>
      </w:r>
    </w:p>
    <w:p w14:paraId="7112305D" w14:textId="77777777" w:rsidR="008F240F" w:rsidRDefault="008F240F">
      <w:pPr>
        <w:spacing w:before="100"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8F240F" w14:paraId="0E898508" w14:textId="77777777">
        <w:tc>
          <w:tcPr>
            <w:tcW w:w="9360" w:type="dxa"/>
            <w:tcBorders>
              <w:top w:val="none" w:sz="0" w:space="0" w:color="FFFFFF"/>
              <w:left w:val="single" w:sz="12" w:space="0" w:color="2E75B6"/>
              <w:bottom w:val="none" w:sz="0" w:space="0" w:color="FFFFFF"/>
              <w:right w:val="none" w:sz="0" w:space="0" w:color="FFFFFF"/>
            </w:tcBorders>
            <w:shd w:val="clear" w:color="auto" w:fill="E8F0F8"/>
            <w:tcMar>
              <w:top w:w="120" w:type="dxa"/>
              <w:left w:w="240" w:type="dxa"/>
              <w:bottom w:w="120" w:type="dxa"/>
              <w:right w:w="240" w:type="dxa"/>
            </w:tcMar>
          </w:tcPr>
          <w:p w14:paraId="61D65100" w14:textId="0826D0BA" w:rsidR="008F240F" w:rsidRDefault="00000000">
            <w:pPr>
              <w:spacing w:before="40" w:after="80"/>
            </w:pPr>
            <w:r>
              <w:rPr>
                <w:b/>
                <w:bCs/>
                <w:color w:val="2E75B6"/>
                <w:sz w:val="24"/>
                <w:szCs w:val="24"/>
              </w:rPr>
              <w:t>Why “Machine</w:t>
            </w:r>
            <w:r w:rsidR="007F7F7D">
              <w:rPr>
                <w:b/>
                <w:bCs/>
                <w:color w:val="2E75B6"/>
                <w:sz w:val="24"/>
                <w:szCs w:val="24"/>
              </w:rPr>
              <w:t xml:space="preserve"> Prediction</w:t>
            </w:r>
            <w:r>
              <w:rPr>
                <w:b/>
                <w:bCs/>
                <w:color w:val="2E75B6"/>
                <w:sz w:val="24"/>
                <w:szCs w:val="24"/>
              </w:rPr>
              <w:t>” Is the Right Name</w:t>
            </w:r>
          </w:p>
          <w:p w14:paraId="75EE5885" w14:textId="5BB20555" w:rsidR="008F240F" w:rsidRDefault="00000000">
            <w:pPr>
              <w:spacing w:before="60" w:after="60" w:line="264" w:lineRule="auto"/>
            </w:pPr>
            <w:r>
              <w:rPr>
                <w:color w:val="333333"/>
                <w:sz w:val="20"/>
                <w:szCs w:val="20"/>
              </w:rPr>
              <w:lastRenderedPageBreak/>
              <w:t xml:space="preserve">Economists Ajay Agrawal, Joshua Gans, and Avi Goldfarb argue in Prediction Machines (2018) and Power and Prediction (2022) that the term “Artificial Intelligence” obscures more than it </w:t>
            </w:r>
            <w:proofErr w:type="gramStart"/>
            <w:r>
              <w:rPr>
                <w:color w:val="333333"/>
                <w:sz w:val="20"/>
                <w:szCs w:val="20"/>
              </w:rPr>
              <w:t>reveals</w:t>
            </w:r>
            <w:proofErr w:type="gramEnd"/>
            <w:r>
              <w:rPr>
                <w:color w:val="333333"/>
                <w:sz w:val="20"/>
                <w:szCs w:val="20"/>
              </w:rPr>
              <w:t xml:space="preserve">. What today’s AI systems </w:t>
            </w:r>
            <w:proofErr w:type="gramStart"/>
            <w:r>
              <w:rPr>
                <w:color w:val="333333"/>
                <w:sz w:val="20"/>
                <w:szCs w:val="20"/>
              </w:rPr>
              <w:t>actually do</w:t>
            </w:r>
            <w:proofErr w:type="gramEnd"/>
            <w:r>
              <w:rPr>
                <w:color w:val="333333"/>
                <w:sz w:val="20"/>
                <w:szCs w:val="20"/>
              </w:rPr>
              <w:t xml:space="preserve"> is generate predictions: they take information you have</w:t>
            </w:r>
            <w:r w:rsidR="007F7F7D">
              <w:rPr>
                <w:color w:val="333333"/>
                <w:sz w:val="20"/>
                <w:szCs w:val="20"/>
              </w:rPr>
              <w:t xml:space="preserve"> </w:t>
            </w:r>
            <w:r>
              <w:rPr>
                <w:color w:val="333333"/>
                <w:sz w:val="20"/>
                <w:szCs w:val="20"/>
              </w:rPr>
              <w:t>(data) and produce information you don’t have (forecasts, classifications, recommendations). Framed this way, AI is not magic or sentience—it is a technology that has made the cost of prediction collapse, just as semiconductors collapsed the cost of arithmetic and telecommunications collapsed the cost of transmitting information. When prediction becomes cheap, businesses can shift from managing uncertainty through rigid rules, buffers, and human intuition to managing uncertainty through data-driven action. Inventory rules give way to demand prediction. Scheduled maintenance gives way to condition-based prediction. Blanket marketing gives way to individualized prediction of customer behavior. The economic transformation is not that machines “think”</w:t>
            </w:r>
            <w:r w:rsidR="007F7F7D">
              <w:rPr>
                <w:color w:val="333333"/>
                <w:sz w:val="20"/>
                <w:szCs w:val="20"/>
              </w:rPr>
              <w:t xml:space="preserve"> - </w:t>
            </w:r>
            <w:r>
              <w:rPr>
                <w:color w:val="333333"/>
                <w:sz w:val="20"/>
                <w:szCs w:val="20"/>
              </w:rPr>
              <w:t>it is that prediction is now so inexpensive that it can be embedded in decisions where it was previously too costly to include.</w:t>
            </w:r>
          </w:p>
          <w:p w14:paraId="53C6D941" w14:textId="664E0E1F" w:rsidR="008F240F" w:rsidRDefault="00000000">
            <w:pPr>
              <w:spacing w:before="60" w:after="60" w:line="264" w:lineRule="auto"/>
            </w:pPr>
            <w:r>
              <w:rPr>
                <w:color w:val="333333"/>
                <w:sz w:val="20"/>
                <w:szCs w:val="20"/>
              </w:rPr>
              <w:t>Agrawal, Gans, and Goldfarb further distinguish between point solutions, application solutions, and system solutions. Point solutions improve a single existing decision without changing anything else</w:t>
            </w:r>
            <w:r w:rsidR="007F7F7D">
              <w:rPr>
                <w:color w:val="333333"/>
                <w:sz w:val="20"/>
                <w:szCs w:val="20"/>
              </w:rPr>
              <w:t xml:space="preserve"> - </w:t>
            </w:r>
            <w:r>
              <w:rPr>
                <w:color w:val="333333"/>
                <w:sz w:val="20"/>
                <w:szCs w:val="20"/>
              </w:rPr>
              <w:t>a better product recommendation, a smarter spam filter. Application solutions enable entirely new decisions but still operate independently of the broader system. System solutions, however, redesign entire networks of interdependent decisions, and it is here that the truly transformative value of cheap prediction resides. Just as electricity’s real power was not replacing steam engines one-for-one but enabling the complete redesign of factory layouts, AI’s real power lies not in automating isolated tasks but in enabling firms to reimagine how decisions flow through an entire organization. Adopting the “Prediction Machine” frame forces executives to ask the productive question</w:t>
            </w:r>
            <w:r w:rsidR="007F7F7D">
              <w:rPr>
                <w:color w:val="333333"/>
                <w:sz w:val="20"/>
                <w:szCs w:val="20"/>
              </w:rPr>
              <w:t xml:space="preserve"> - </w:t>
            </w:r>
            <w:r>
              <w:rPr>
                <w:color w:val="333333"/>
                <w:sz w:val="20"/>
                <w:szCs w:val="20"/>
              </w:rPr>
              <w:t>“Where are we paying a high price for poor predictions?”</w:t>
            </w:r>
            <w:r w:rsidR="007F7F7D">
              <w:rPr>
                <w:color w:val="333333"/>
                <w:sz w:val="20"/>
                <w:szCs w:val="20"/>
              </w:rPr>
              <w:t xml:space="preserve"> - </w:t>
            </w:r>
            <w:r>
              <w:rPr>
                <w:color w:val="333333"/>
                <w:sz w:val="20"/>
                <w:szCs w:val="20"/>
              </w:rPr>
              <w:t>rather than the vague one</w:t>
            </w:r>
            <w:r w:rsidR="007F7F7D">
              <w:rPr>
                <w:color w:val="333333"/>
                <w:sz w:val="20"/>
                <w:szCs w:val="20"/>
              </w:rPr>
              <w:t xml:space="preserve"> - </w:t>
            </w:r>
            <w:r>
              <w:rPr>
                <w:color w:val="333333"/>
                <w:sz w:val="20"/>
                <w:szCs w:val="20"/>
              </w:rPr>
              <w:t>“How do we use AI?” That shift in framing is what separates firms that capture real value from those that accumulate expensive pilots.</w:t>
            </w:r>
          </w:p>
        </w:tc>
      </w:tr>
    </w:tbl>
    <w:p w14:paraId="4CC14565" w14:textId="77777777" w:rsidR="008F240F" w:rsidRDefault="008F240F">
      <w:pPr>
        <w:spacing w:before="100" w:after="100"/>
      </w:pPr>
    </w:p>
    <w:p w14:paraId="2D900417" w14:textId="77777777" w:rsidR="008F240F" w:rsidRDefault="00000000">
      <w:pPr>
        <w:spacing w:before="80" w:after="80" w:line="276" w:lineRule="auto"/>
      </w:pPr>
      <w:r>
        <w:rPr>
          <w:color w:val="333333"/>
        </w:rPr>
        <w:t>From this point forward, this paper will use the term “Prediction Machine” in place of “Artificial Intelligence.” This is not a cosmetic change. As Agrawal, Gans, and Goldfarb have demonstrated, the framing matters. When executives think about “AI,” they tend to imagine sentient robots or magical black boxes—abstractions that are difficult to connect to concrete business decisions. When they think about “Prediction Machines,” they are immediately directed toward the economic substance of the technology: it makes predictions cheap, and cheap predictions change how decisions are made. Every strategic recommendation in this paper follows from that foundational insight.</w:t>
      </w:r>
    </w:p>
    <w:p w14:paraId="08F9BC60" w14:textId="77777777" w:rsidR="008F240F" w:rsidRDefault="00000000">
      <w:pPr>
        <w:pStyle w:val="Heading1"/>
      </w:pPr>
      <w:r>
        <w:t>2. Schumpeter’s Framework: Creative Destruction and Monopoly Power</w:t>
      </w:r>
    </w:p>
    <w:p w14:paraId="6FBC766E" w14:textId="6C41DF7D" w:rsidR="008F240F" w:rsidRDefault="00000000">
      <w:pPr>
        <w:spacing w:before="80" w:after="80" w:line="276" w:lineRule="auto"/>
      </w:pPr>
      <w:r>
        <w:rPr>
          <w:color w:val="333333"/>
        </w:rPr>
        <w:t>Joseph Schumpeter’s central insight, developed across his career and crystallized in Capitalism, Socialism and Democracy (1942), was that the essential fact about capitalism is not price competition among existing firms but innovation competition</w:t>
      </w:r>
      <w:r w:rsidR="007F7F7D">
        <w:rPr>
          <w:color w:val="333333"/>
        </w:rPr>
        <w:t xml:space="preserve"> - </w:t>
      </w:r>
      <w:r>
        <w:rPr>
          <w:color w:val="333333"/>
        </w:rPr>
        <w:t>what he called “creative destruction.” New products, new methods of production, new markets, and new forms of organization continuously arise and destroy the value of established firms, technologies, and ways of doing business. The firms that innovate enjoy temporary monopoly profits—the reward for taking the risk—until the next wave of innovation sweeps them aside.</w:t>
      </w:r>
    </w:p>
    <w:p w14:paraId="2C1845B6" w14:textId="24B31A45" w:rsidR="008F240F" w:rsidRDefault="00000000">
      <w:pPr>
        <w:spacing w:before="80" w:after="80" w:line="276" w:lineRule="auto"/>
      </w:pPr>
      <w:r>
        <w:rPr>
          <w:color w:val="333333"/>
        </w:rPr>
        <w:lastRenderedPageBreak/>
        <w:t>This framework has direct implications for how firms should deploy the gains from Machines</w:t>
      </w:r>
      <w:r w:rsidR="007F7F7D">
        <w:rPr>
          <w:color w:val="333333"/>
        </w:rPr>
        <w:t xml:space="preserve"> Prediction</w:t>
      </w:r>
      <w:r>
        <w:rPr>
          <w:color w:val="333333"/>
        </w:rPr>
        <w:t>.</w:t>
      </w:r>
    </w:p>
    <w:p w14:paraId="3A371263" w14:textId="77777777" w:rsidR="008F240F" w:rsidRDefault="00000000">
      <w:pPr>
        <w:pStyle w:val="Heading2"/>
      </w:pPr>
      <w:r>
        <w:t>2.1 The Monopolist’s Calculus</w:t>
      </w:r>
    </w:p>
    <w:p w14:paraId="6DC92D70" w14:textId="21F0A6E6" w:rsidR="008F240F" w:rsidRDefault="00000000">
      <w:pPr>
        <w:spacing w:before="80" w:after="80" w:line="276" w:lineRule="auto"/>
        <w:rPr>
          <w:color w:val="333333"/>
        </w:rPr>
      </w:pPr>
      <w:r>
        <w:rPr>
          <w:color w:val="333333"/>
        </w:rPr>
        <w:t>A firm with significant monopoly power</w:t>
      </w:r>
      <w:r w:rsidR="007F7F7D">
        <w:rPr>
          <w:color w:val="333333"/>
        </w:rPr>
        <w:t xml:space="preserve"> - </w:t>
      </w:r>
      <w:r>
        <w:rPr>
          <w:color w:val="333333"/>
        </w:rPr>
        <w:t>whether through regulatory barriers, network effects, proprietary technology, or overwhelming scale</w:t>
      </w:r>
      <w:r w:rsidR="007F7F7D">
        <w:rPr>
          <w:color w:val="333333"/>
        </w:rPr>
        <w:t xml:space="preserve"> - </w:t>
      </w:r>
      <w:r>
        <w:rPr>
          <w:color w:val="333333"/>
        </w:rPr>
        <w:t>faces a particular kind of Schumpeterian logic. For the monopolist, the primary competitive threat is not from existing rivals but from the “gale of creative destruction”</w:t>
      </w:r>
      <w:r w:rsidR="007F7F7D">
        <w:rPr>
          <w:color w:val="333333"/>
        </w:rPr>
        <w:t xml:space="preserve"> - </w:t>
      </w:r>
      <w:r>
        <w:rPr>
          <w:color w:val="333333"/>
        </w:rPr>
        <w:t>from some unforeseen innovator who will render the current business model obsolete. Schumpeter argued that monopolists and oligopolists often have both the incentive and the resources to innovate precisely because they have deep pockets and because they understand that if they do not make their own products obsolete, someone else will.</w:t>
      </w:r>
    </w:p>
    <w:p w14:paraId="5665882F" w14:textId="5A5435C0" w:rsidR="0087389F" w:rsidRDefault="0087389F">
      <w:pPr>
        <w:spacing w:before="80" w:after="80" w:line="276" w:lineRule="auto"/>
      </w:pPr>
      <w:r>
        <w:rPr>
          <w:color w:val="333333"/>
        </w:rPr>
        <w:t xml:space="preserve">This sets up a choice that a Monopolist has that a firm operating in a competitive marketplace does not have.  The Monopolist </w:t>
      </w:r>
      <w:r w:rsidR="00B52523">
        <w:rPr>
          <w:color w:val="333333"/>
        </w:rPr>
        <w:t>can</w:t>
      </w:r>
      <w:r>
        <w:rPr>
          <w:color w:val="333333"/>
        </w:rPr>
        <w:t xml:space="preserve"> choose between either capturing efficiencies </w:t>
      </w:r>
      <w:r w:rsidR="009254EC">
        <w:rPr>
          <w:color w:val="333333"/>
        </w:rPr>
        <w:t xml:space="preserve">as increased profit to use to protect the monopoly position </w:t>
      </w:r>
      <w:r>
        <w:rPr>
          <w:color w:val="333333"/>
        </w:rPr>
        <w:t>or</w:t>
      </w:r>
      <w:r w:rsidR="00B52523">
        <w:rPr>
          <w:color w:val="333333"/>
        </w:rPr>
        <w:t xml:space="preserve"> use the increase in available</w:t>
      </w:r>
      <w:r>
        <w:rPr>
          <w:color w:val="333333"/>
        </w:rPr>
        <w:t xml:space="preserve"> resources to innovate</w:t>
      </w:r>
      <w:r w:rsidR="00B52523">
        <w:rPr>
          <w:color w:val="333333"/>
        </w:rPr>
        <w:t>.  That innovation can take the form of creating new</w:t>
      </w:r>
      <w:r>
        <w:rPr>
          <w:color w:val="333333"/>
        </w:rPr>
        <w:t xml:space="preserve"> products that will replace what they sell today before someone else does</w:t>
      </w:r>
      <w:r w:rsidR="00B52523">
        <w:rPr>
          <w:color w:val="333333"/>
        </w:rPr>
        <w:t xml:space="preserve"> or to grow market share or increase horizontal or vertical integrations.</w:t>
      </w:r>
    </w:p>
    <w:p w14:paraId="59E11AD8" w14:textId="495F286B" w:rsidR="008F240F" w:rsidRDefault="00000000">
      <w:pPr>
        <w:spacing w:before="80" w:after="80" w:line="276" w:lineRule="auto"/>
        <w:rPr>
          <w:color w:val="333333"/>
        </w:rPr>
      </w:pPr>
      <w:r>
        <w:rPr>
          <w:color w:val="333333"/>
        </w:rPr>
        <w:t>However, there is an important asymmetry. A monopolist that deploys Machine</w:t>
      </w:r>
      <w:r w:rsidR="005D3258">
        <w:rPr>
          <w:color w:val="333333"/>
        </w:rPr>
        <w:t xml:space="preserve"> Prediction</w:t>
      </w:r>
      <w:r>
        <w:rPr>
          <w:color w:val="333333"/>
        </w:rPr>
        <w:t xml:space="preserve"> gains to grow into new markets is, in Schumpeterian terms, competing against itself. It already dominates its domain. The marginal return to expansion is lower than the marginal return to cost reduction, because expansion carries the risk of organizational overextension, regulatory scrutiny, and diluted focus</w:t>
      </w:r>
      <w:r w:rsidR="003020CD">
        <w:rPr>
          <w:color w:val="333333"/>
        </w:rPr>
        <w:t xml:space="preserve"> - </w:t>
      </w:r>
      <w:r>
        <w:rPr>
          <w:color w:val="333333"/>
        </w:rPr>
        <w:t>all while the core monopoly continues to generate rents. For the monopolist, the rational Schumpeterian strategy is to use Machine</w:t>
      </w:r>
      <w:r w:rsidR="005D3258">
        <w:rPr>
          <w:color w:val="333333"/>
        </w:rPr>
        <w:t xml:space="preserve"> Prediction</w:t>
      </w:r>
      <w:r>
        <w:rPr>
          <w:color w:val="333333"/>
        </w:rPr>
        <w:t xml:space="preserve"> efficiencies to deepen the moat: reduce costs, improve margins, and capture those savings as shareholder value, while simultaneously investing a portion of the savings in defensive innovation to stay ahead of the next wave of creative destruction.</w:t>
      </w:r>
    </w:p>
    <w:p w14:paraId="74A40070" w14:textId="69A68A01" w:rsidR="005D3258" w:rsidRDefault="005D3258">
      <w:pPr>
        <w:spacing w:before="80" w:after="80" w:line="276" w:lineRule="auto"/>
      </w:pPr>
      <w:r>
        <w:rPr>
          <w:color w:val="333333"/>
        </w:rPr>
        <w:t>There is a hitch</w:t>
      </w:r>
      <w:r w:rsidR="000B6CAA">
        <w:rPr>
          <w:color w:val="333333"/>
        </w:rPr>
        <w:t xml:space="preserve">, </w:t>
      </w:r>
      <w:r>
        <w:rPr>
          <w:color w:val="333333"/>
        </w:rPr>
        <w:t>and it comes from the long lead times between the implementation of a Machine Prediction strategy</w:t>
      </w:r>
      <w:r w:rsidR="000B6CAA">
        <w:rPr>
          <w:color w:val="333333"/>
        </w:rPr>
        <w:t xml:space="preserve"> and the realization of the efficiencies that come from that technology.  </w:t>
      </w:r>
      <w:r w:rsidR="00DB3F10" w:rsidRPr="00DB3F10">
        <w:rPr>
          <w:color w:val="333333"/>
        </w:rPr>
        <w:t>McElheran</w:t>
      </w:r>
      <w:r w:rsidR="00DB3F10">
        <w:rPr>
          <w:color w:val="333333"/>
        </w:rPr>
        <w:t>’s</w:t>
      </w:r>
      <w:r w:rsidR="000B6CAA">
        <w:rPr>
          <w:color w:val="333333"/>
        </w:rPr>
        <w:t xml:space="preserve"> J-Curve shows that Prediction Machine programs have lead times between 18 months and 4 years before those efficiencies can be seen </w:t>
      </w:r>
      <w:r w:rsidR="00DB3F10">
        <w:rPr>
          <w:color w:val="333333"/>
        </w:rPr>
        <w:t>as</w:t>
      </w:r>
      <w:r w:rsidR="000B6CAA">
        <w:rPr>
          <w:color w:val="333333"/>
        </w:rPr>
        <w:t xml:space="preserve"> savings.</w:t>
      </w:r>
      <w:r w:rsidR="00DB3F10">
        <w:rPr>
          <w:color w:val="333333"/>
        </w:rPr>
        <w:t xml:space="preserve"> When making strategic decisions about Machine Prediction implementation those long lead times need to be taken into consideration. </w:t>
      </w:r>
    </w:p>
    <w:p w14:paraId="2BCFC5BC" w14:textId="77777777" w:rsidR="008F240F" w:rsidRDefault="00000000">
      <w:pPr>
        <w:pStyle w:val="Heading2"/>
      </w:pPr>
      <w:r>
        <w:t>2.2 The Competitor’s Imperative</w:t>
      </w:r>
    </w:p>
    <w:p w14:paraId="5CE17B09" w14:textId="77777777" w:rsidR="008F240F" w:rsidRDefault="00000000">
      <w:pPr>
        <w:spacing w:before="80" w:after="80" w:line="276" w:lineRule="auto"/>
      </w:pPr>
      <w:r>
        <w:rPr>
          <w:color w:val="333333"/>
        </w:rPr>
        <w:t xml:space="preserve">A firm without monopoly power faces the opposite calculus. In a competitive market, cost savings alone are a temporary advantage. Competitors will adopt similar Prediction Machine technologies, and margins will compress as the industry equilibrates </w:t>
      </w:r>
      <w:proofErr w:type="gramStart"/>
      <w:r>
        <w:rPr>
          <w:color w:val="333333"/>
        </w:rPr>
        <w:t>at</w:t>
      </w:r>
      <w:proofErr w:type="gramEnd"/>
      <w:r>
        <w:rPr>
          <w:color w:val="333333"/>
        </w:rPr>
        <w:t xml:space="preserve"> the new, lower cost structure. The Schumpeterian lesson is clear: in competitive markets, the only durable advantage is innovation that changes the terms of competition. Firms without monopoly power must use Prediction Machine gains not to cut costs but to grow—to grab market share before competitors adjust, to integrate vertically or horizontally in ways that create new barriers to </w:t>
      </w:r>
      <w:r>
        <w:rPr>
          <w:color w:val="333333"/>
        </w:rPr>
        <w:lastRenderedPageBreak/>
        <w:t>entry, or to enter adjacent businesses where their Prediction Machine capabilities give them an edge.</w:t>
      </w:r>
    </w:p>
    <w:p w14:paraId="5139FBE2" w14:textId="048D78E1" w:rsidR="008F240F" w:rsidRDefault="00000000">
      <w:pPr>
        <w:spacing w:before="80" w:after="80" w:line="276" w:lineRule="auto"/>
      </w:pPr>
      <w:r>
        <w:rPr>
          <w:color w:val="333333"/>
        </w:rPr>
        <w:t>This is the essence of Schumpeter’s “creative destruction” from the attacker’s perspective. The competitive firm is the entrepreneur in Schumpeter’s narrative</w:t>
      </w:r>
      <w:r w:rsidR="000B6CAA">
        <w:rPr>
          <w:color w:val="333333"/>
        </w:rPr>
        <w:t xml:space="preserve"> - </w:t>
      </w:r>
      <w:r>
        <w:rPr>
          <w:color w:val="333333"/>
        </w:rPr>
        <w:t>the agent of disruption. Its Prediction Machine investments are not about doing the same things more cheaply; they are about doing fundamentally different things that reshape the competitive landscape. The temporary monopoly profits that Schumpeter described as the entrepreneur’s reward come not from cost reduction but from being first to deploy system-level Prediction Machine solutions that competitors cannot easily replicate.</w:t>
      </w:r>
    </w:p>
    <w:p w14:paraId="3880F15B" w14:textId="03099BBF" w:rsidR="008F240F" w:rsidRDefault="00000000">
      <w:pPr>
        <w:pStyle w:val="Heading1"/>
      </w:pPr>
      <w:r>
        <w:t xml:space="preserve">3. The Productivity J-Curve: What </w:t>
      </w:r>
      <w:proofErr w:type="gramStart"/>
      <w:r>
        <w:t>the Evidence</w:t>
      </w:r>
      <w:proofErr w:type="gramEnd"/>
      <w:r>
        <w:t xml:space="preserve"> Shows</w:t>
      </w:r>
    </w:p>
    <w:p w14:paraId="45B80B3F" w14:textId="77777777" w:rsidR="008F240F" w:rsidRDefault="00000000">
      <w:pPr>
        <w:spacing w:before="80" w:after="80" w:line="276" w:lineRule="auto"/>
      </w:pPr>
      <w:r>
        <w:rPr>
          <w:color w:val="333333"/>
        </w:rPr>
        <w:t>The theoretical logic of Schumpeter is powerfully corroborated by empirical research from MIT. Erik Brynjolfsson, Daniel Rock, and Chad Syverson first articulated the “Productivity J-Curve” concept, arguing that general-purpose technologies like AI follow a characteristic pattern: an initial period of declining measured productivity followed by a sharp upswing as complementary investments—new processes, new skills, new organizational structures—begin to pay off. The researchers drew explicit parallels to the adoption of electricity, which took two to three decades to show up in productivity statistics because the real gains required completely redesigning factories, not simply swapping steam engines for electric motors.</w:t>
      </w:r>
    </w:p>
    <w:p w14:paraId="40944BE6" w14:textId="44F2EA4B" w:rsidR="008F240F" w:rsidRDefault="00000000">
      <w:pPr>
        <w:spacing w:before="80" w:after="80" w:line="276" w:lineRule="auto"/>
      </w:pPr>
      <w:r>
        <w:rPr>
          <w:color w:val="333333"/>
        </w:rPr>
        <w:t xml:space="preserve">More recently, a major empirical study led by Kristina McElheran at the University of Toronto (affiliated with the MIT Initiative on the Digital Economy) examined tens of thousands of U.S. manufacturing firms using Census Bureau data from 2017 and 2021. The findings confirmed the J-curve in striking detail. Firms that adopted AI for business functions experienced </w:t>
      </w:r>
      <w:r w:rsidR="007D2DDF">
        <w:rPr>
          <w:color w:val="333333"/>
        </w:rPr>
        <w:t>for each standard deviation of measured AI increase</w:t>
      </w:r>
      <w:r>
        <w:rPr>
          <w:color w:val="333333"/>
        </w:rPr>
        <w:t xml:space="preserve"> productivity decline</w:t>
      </w:r>
      <w:r w:rsidR="007D2DDF">
        <w:rPr>
          <w:color w:val="333333"/>
        </w:rPr>
        <w:t>d</w:t>
      </w:r>
      <w:r>
        <w:rPr>
          <w:color w:val="333333"/>
        </w:rPr>
        <w:t xml:space="preserve"> 1.3 percentage points</w:t>
      </w:r>
      <w:r w:rsidR="007D2DDF">
        <w:rPr>
          <w:color w:val="333333"/>
        </w:rPr>
        <w:t xml:space="preserve"> </w:t>
      </w:r>
      <w:r>
        <w:rPr>
          <w:color w:val="333333"/>
        </w:rPr>
        <w:t>in the short term. When the researchers corrected for selection bias—accounting for the fact that firms expecting higher returns are more likely to be early adopters—the estimated short-run negative impact was substantially larger, on the order of sixty percentage points.</w:t>
      </w:r>
    </w:p>
    <w:p w14:paraId="1430927F" w14:textId="77777777" w:rsidR="008F240F" w:rsidRDefault="00000000">
      <w:pPr>
        <w:spacing w:before="80" w:after="80" w:line="276" w:lineRule="auto"/>
      </w:pPr>
      <w:r>
        <w:rPr>
          <w:color w:val="333333"/>
        </w:rPr>
        <w:t xml:space="preserve">However, the study also found a clear pattern of recovery and eventual outperformance. Over the four-year observation window, manufacturing firms that adopted AI tended to outperform their non-adopting peers in both productivity and market share. The recovery was not distributed evenly. Firms that were already digitally </w:t>
      </w:r>
      <w:proofErr w:type="gramStart"/>
      <w:r>
        <w:rPr>
          <w:color w:val="333333"/>
        </w:rPr>
        <w:t>mature</w:t>
      </w:r>
      <w:proofErr w:type="gramEnd"/>
      <w:r>
        <w:rPr>
          <w:color w:val="333333"/>
        </w:rPr>
        <w:t xml:space="preserve"> before adopting AI experienced a smoother and faster recovery. Older, more established firms with legacy systems and institutional inertia experienced the deepest initial declines and the slowest recoveries.</w:t>
      </w:r>
    </w:p>
    <w:p w14:paraId="2670C0BE" w14:textId="5E06FA2C" w:rsidR="008F240F" w:rsidRDefault="00000000">
      <w:pPr>
        <w:spacing w:before="80" w:after="80" w:line="276" w:lineRule="auto"/>
        <w:rPr>
          <w:color w:val="333333"/>
        </w:rPr>
      </w:pPr>
      <w:r>
        <w:rPr>
          <w:color w:val="333333"/>
        </w:rPr>
        <w:t xml:space="preserve">The BCG </w:t>
      </w:r>
      <w:r w:rsidR="000B6CAA">
        <w:rPr>
          <w:color w:val="333333"/>
        </w:rPr>
        <w:t xml:space="preserve">(Boston Consulting Group) </w:t>
      </w:r>
      <w:r>
        <w:rPr>
          <w:color w:val="333333"/>
        </w:rPr>
        <w:t>research reinforces this picture from a different angle. Their 2024 study found that only four percent of companies were creating substantial value from their AI initiatives, while seventy-four percent struggled to achieve and scale value. The pattern that emerged was that successful firms focused deeply on a small number of use cases (an average of 3.5) rather than spreading resources thinly across many (6.1 for underperformers). This finding maps directly onto the Agrawal, Gans, and Goldfarb framework: successful firms are pursuing system-level solutions in focused domains rather than scattering point solutions across the organization.</w:t>
      </w:r>
    </w:p>
    <w:p w14:paraId="0EA672B9" w14:textId="37EF48A3" w:rsidR="001E4F23" w:rsidRDefault="001E4F23">
      <w:pPr>
        <w:spacing w:before="80" w:after="80" w:line="276" w:lineRule="auto"/>
      </w:pPr>
      <w:r>
        <w:rPr>
          <w:color w:val="333333"/>
        </w:rPr>
        <w:lastRenderedPageBreak/>
        <w:t xml:space="preserve">It must be mentioned that truly commoditized Machine Prediction has only become available over the last 4 years.  For example, ChatGPT was released to the public in November 2022.  The practice of discovering and deploying Machine Prediction solutions and the creation of the industrial infrastructure to support them is brand new.  Companies are having to engage in these projects without any experience with </w:t>
      </w:r>
      <w:r w:rsidR="00FA3A93">
        <w:rPr>
          <w:color w:val="333333"/>
        </w:rPr>
        <w:t>Machine Prediction</w:t>
      </w:r>
      <w:r>
        <w:rPr>
          <w:color w:val="333333"/>
        </w:rPr>
        <w:t xml:space="preserve">. They lack governance and process and procedure. Given a </w:t>
      </w:r>
      <w:r w:rsidR="00FA3A93">
        <w:rPr>
          <w:color w:val="333333"/>
        </w:rPr>
        <w:t>4-year</w:t>
      </w:r>
      <w:r>
        <w:rPr>
          <w:color w:val="333333"/>
        </w:rPr>
        <w:t xml:space="preserve"> J-Curve for most projects and companies</w:t>
      </w:r>
      <w:r w:rsidR="00FA3A93">
        <w:rPr>
          <w:color w:val="333333"/>
        </w:rPr>
        <w:t xml:space="preserve"> it tracks that</w:t>
      </w:r>
      <w:r>
        <w:rPr>
          <w:color w:val="333333"/>
        </w:rPr>
        <w:t xml:space="preserve"> only the very </w:t>
      </w:r>
      <w:r w:rsidR="00DB3F10">
        <w:rPr>
          <w:color w:val="333333"/>
        </w:rPr>
        <w:t>early</w:t>
      </w:r>
      <w:r>
        <w:rPr>
          <w:color w:val="333333"/>
        </w:rPr>
        <w:t xml:space="preserve"> adopters are starting to see results.</w:t>
      </w:r>
    </w:p>
    <w:p w14:paraId="4E9F121D" w14:textId="77777777" w:rsidR="008F240F" w:rsidRDefault="00000000">
      <w:pPr>
        <w:pStyle w:val="Heading1"/>
      </w:pPr>
      <w:r>
        <w:t>4. An Integrated Model: Schumpeter Meets the J-Curve</w:t>
      </w:r>
    </w:p>
    <w:p w14:paraId="4786BB40" w14:textId="77777777" w:rsidR="008F240F" w:rsidRDefault="00000000">
      <w:pPr>
        <w:spacing w:before="80" w:after="80" w:line="276" w:lineRule="auto"/>
      </w:pPr>
      <w:r>
        <w:rPr>
          <w:color w:val="333333"/>
        </w:rPr>
        <w:t>Combining Schumpeterian economics with the MIT J-curve research yields a practical model for estimating the future value trajectory of a Prediction Machine investment and the timeline a CEO or CIO should expect before that investment reaches profitability.</w:t>
      </w:r>
    </w:p>
    <w:p w14:paraId="16CA627D" w14:textId="77777777" w:rsidR="008F240F" w:rsidRDefault="00000000">
      <w:pPr>
        <w:pStyle w:val="Heading2"/>
      </w:pPr>
      <w:r>
        <w:t>4.1 The Three Phases of Prediction Machine Value Creation</w:t>
      </w:r>
    </w:p>
    <w:p w14:paraId="6D311FE3" w14:textId="77777777" w:rsidR="008F240F" w:rsidRDefault="00000000">
      <w:pPr>
        <w:pStyle w:val="Heading3"/>
      </w:pPr>
      <w:r>
        <w:t>Phase 1: The Descent (Months 0–18)</w:t>
      </w:r>
    </w:p>
    <w:p w14:paraId="10A13670" w14:textId="30866679" w:rsidR="008F240F" w:rsidRDefault="00000000">
      <w:pPr>
        <w:spacing w:before="80" w:after="80" w:line="276" w:lineRule="auto"/>
      </w:pPr>
      <w:r>
        <w:rPr>
          <w:color w:val="333333"/>
        </w:rPr>
        <w:t>In the first phase, the firm is investing heavily in what Brynjolfsson calls “intangible capital”</w:t>
      </w:r>
      <w:r w:rsidR="00FA3A93">
        <w:rPr>
          <w:color w:val="333333"/>
        </w:rPr>
        <w:t xml:space="preserve"> - </w:t>
      </w:r>
      <w:r>
        <w:rPr>
          <w:color w:val="333333"/>
        </w:rPr>
        <w:t>redesigned processes, employee training, data infrastructure, organizational restructuring. These investments are real and costly but do not appear in traditional productivity metrics. Measured productivity declines. The Schumpeterian interpretation is that the firm is accumulating the complementary innovations required to exploit the new general-purpose technology. The decline is not a sign of failure; it is the cost of building the foundation for creative destruction. During this phase, firms should expect negative returns on their Prediction Machine investments. The depth of the descent depends on organizational factors: digital maturity (digitally native firms experience shallower declines), firm age and complexity (older firms with legacy systems experience deeper declines), scope of ambition (point solutions produce shallow, short dips while system solutions produce deeper, longer dips with ultimately greater payoffs), and workforce readiness (firms that have invested in upskilling recover faster).</w:t>
      </w:r>
    </w:p>
    <w:p w14:paraId="13B21A9E" w14:textId="77777777" w:rsidR="008F240F" w:rsidRDefault="00000000">
      <w:pPr>
        <w:pStyle w:val="Heading3"/>
      </w:pPr>
      <w:r>
        <w:t>Phase 2: The Inflection (Months 12–36)</w:t>
      </w:r>
    </w:p>
    <w:p w14:paraId="32B3CE28" w14:textId="77777777" w:rsidR="008F240F" w:rsidRDefault="00000000">
      <w:pPr>
        <w:spacing w:before="80" w:after="80" w:line="276" w:lineRule="auto"/>
      </w:pPr>
      <w:r>
        <w:rPr>
          <w:color w:val="333333"/>
        </w:rPr>
        <w:t xml:space="preserve">In the second phase, the intangible investments begin to generate measurable output. Workers have learned </w:t>
      </w:r>
      <w:proofErr w:type="gramStart"/>
      <w:r>
        <w:rPr>
          <w:color w:val="333333"/>
        </w:rPr>
        <w:t>the new</w:t>
      </w:r>
      <w:proofErr w:type="gramEnd"/>
      <w:r>
        <w:rPr>
          <w:color w:val="333333"/>
        </w:rPr>
        <w:t xml:space="preserve"> tools. Processes have been redesigned. Data pipelines </w:t>
      </w:r>
      <w:proofErr w:type="gramStart"/>
      <w:r>
        <w:rPr>
          <w:color w:val="333333"/>
        </w:rPr>
        <w:t>are producing</w:t>
      </w:r>
      <w:proofErr w:type="gramEnd"/>
      <w:r>
        <w:rPr>
          <w:color w:val="333333"/>
        </w:rPr>
        <w:t xml:space="preserve"> reliable predictions. The firm begins to see the bottom of the J-curve and starts its ascent. The Schumpeterian dynamic becomes critical at this point: the firm must decide whether to capture the emerging gains as cost savings (the monopolist’s strategy) or reinvest them into growth (the competitor’s strategy). The timing of this decision is crucial because the gains are initially modest and easily consumed by ongoing investment costs. Firms that prematurely harvest gains as cost savings may truncate the J-curve’s upswing.</w:t>
      </w:r>
    </w:p>
    <w:p w14:paraId="36F89532" w14:textId="77777777" w:rsidR="008F240F" w:rsidRDefault="00000000">
      <w:pPr>
        <w:pStyle w:val="Heading3"/>
      </w:pPr>
      <w:r>
        <w:t>Phase 3: The Acceleration (Months 24–60+)</w:t>
      </w:r>
    </w:p>
    <w:p w14:paraId="79806FA2" w14:textId="48BB79D2" w:rsidR="008F240F" w:rsidRDefault="00000000">
      <w:pPr>
        <w:spacing w:before="80" w:after="80" w:line="276" w:lineRule="auto"/>
      </w:pPr>
      <w:r>
        <w:rPr>
          <w:color w:val="333333"/>
        </w:rPr>
        <w:lastRenderedPageBreak/>
        <w:t xml:space="preserve">In the third phase, the firm has </w:t>
      </w:r>
      <w:proofErr w:type="gramStart"/>
      <w:r>
        <w:rPr>
          <w:color w:val="333333"/>
        </w:rPr>
        <w:t>cleared</w:t>
      </w:r>
      <w:proofErr w:type="gramEnd"/>
      <w:r>
        <w:rPr>
          <w:color w:val="333333"/>
        </w:rPr>
        <w:t xml:space="preserve"> the adjustment costs and begins to scale the benefits of its Prediction Machine investments across more output, more markets, and more customers. This is where the Schumpeterian dynamics fully engage. Firms that have invested in system-level solutions experience compounding returns: each new prediction capability enables new decisions, which create new data</w:t>
      </w:r>
      <w:proofErr w:type="gramStart"/>
      <w:r>
        <w:rPr>
          <w:color w:val="333333"/>
        </w:rPr>
        <w:t>, which</w:t>
      </w:r>
      <w:proofErr w:type="gramEnd"/>
      <w:r>
        <w:rPr>
          <w:color w:val="333333"/>
        </w:rPr>
        <w:t xml:space="preserve"> improve predictions further. </w:t>
      </w:r>
      <w:r w:rsidR="00DB3F10">
        <w:rPr>
          <w:color w:val="333333"/>
        </w:rPr>
        <w:t>MIT</w:t>
      </w:r>
      <w:r>
        <w:rPr>
          <w:color w:val="333333"/>
        </w:rPr>
        <w:t xml:space="preserve"> research found that early adopters showed stronger growth over this longer time horizon, consistent with Schumpeter’s argument that the returns to innovation are nonlinear and accrue disproportionately to first movers.</w:t>
      </w:r>
    </w:p>
    <w:p w14:paraId="4F479D33" w14:textId="77777777" w:rsidR="008F240F" w:rsidRDefault="00000000">
      <w:pPr>
        <w:pStyle w:val="Heading2"/>
      </w:pPr>
      <w:r>
        <w:t>4.2 Estimating the Unprofitable Period</w:t>
      </w:r>
    </w:p>
    <w:p w14:paraId="09669768" w14:textId="77777777" w:rsidR="008F240F" w:rsidRDefault="00000000">
      <w:pPr>
        <w:spacing w:before="80" w:after="80" w:line="276" w:lineRule="auto"/>
      </w:pPr>
      <w:r>
        <w:rPr>
          <w:color w:val="333333"/>
        </w:rPr>
        <w:t>Based on the empirical evidence, a CEO or CIO should plan for the following timeline to profitability, depending on the scope of the Prediction Machine investment: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2200"/>
        <w:gridCol w:w="2200"/>
        <w:gridCol w:w="2160"/>
      </w:tblGrid>
      <w:tr w:rsidR="008F240F" w14:paraId="4215FCBF" w14:textId="77777777">
        <w:tc>
          <w:tcPr>
            <w:tcW w:w="28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20" w:type="dxa"/>
              <w:bottom w:w="80" w:type="dxa"/>
              <w:right w:w="120" w:type="dxa"/>
            </w:tcMar>
            <w:vAlign w:val="center"/>
          </w:tcPr>
          <w:p w14:paraId="3FCB1725" w14:textId="77777777" w:rsidR="008F240F" w:rsidRDefault="00000000">
            <w:pPr>
              <w:jc w:val="center"/>
            </w:pPr>
            <w:r>
              <w:rPr>
                <w:b/>
                <w:bCs/>
                <w:color w:val="FFFFFF"/>
                <w:sz w:val="20"/>
                <w:szCs w:val="20"/>
              </w:rPr>
              <w:t>Solution Type</w:t>
            </w:r>
          </w:p>
        </w:tc>
        <w:tc>
          <w:tcPr>
            <w:tcW w:w="2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20" w:type="dxa"/>
              <w:bottom w:w="80" w:type="dxa"/>
              <w:right w:w="120" w:type="dxa"/>
            </w:tcMar>
            <w:vAlign w:val="center"/>
          </w:tcPr>
          <w:p w14:paraId="6D43C047" w14:textId="77777777" w:rsidR="008F240F" w:rsidRDefault="00000000">
            <w:pPr>
              <w:jc w:val="center"/>
            </w:pPr>
            <w:r>
              <w:rPr>
                <w:b/>
                <w:bCs/>
                <w:color w:val="FFFFFF"/>
                <w:sz w:val="20"/>
                <w:szCs w:val="20"/>
              </w:rPr>
              <w:t>Unprofitable Period</w:t>
            </w:r>
          </w:p>
        </w:tc>
        <w:tc>
          <w:tcPr>
            <w:tcW w:w="2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20" w:type="dxa"/>
              <w:bottom w:w="80" w:type="dxa"/>
              <w:right w:w="120" w:type="dxa"/>
            </w:tcMar>
            <w:vAlign w:val="center"/>
          </w:tcPr>
          <w:p w14:paraId="5B345BD4" w14:textId="77777777" w:rsidR="008F240F" w:rsidRDefault="00000000">
            <w:pPr>
              <w:jc w:val="center"/>
            </w:pPr>
            <w:r>
              <w:rPr>
                <w:b/>
                <w:bCs/>
                <w:color w:val="FFFFFF"/>
                <w:sz w:val="20"/>
                <w:szCs w:val="20"/>
              </w:rPr>
              <w:t>Break-Even</w:t>
            </w:r>
          </w:p>
        </w:tc>
        <w:tc>
          <w:tcPr>
            <w:tcW w:w="216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20" w:type="dxa"/>
              <w:bottom w:w="80" w:type="dxa"/>
              <w:right w:w="120" w:type="dxa"/>
            </w:tcMar>
            <w:vAlign w:val="center"/>
          </w:tcPr>
          <w:p w14:paraId="02B3AD8F" w14:textId="77777777" w:rsidR="008F240F" w:rsidRDefault="00000000">
            <w:pPr>
              <w:jc w:val="center"/>
            </w:pPr>
            <w:r>
              <w:rPr>
                <w:b/>
                <w:bCs/>
                <w:color w:val="FFFFFF"/>
                <w:sz w:val="20"/>
                <w:szCs w:val="20"/>
              </w:rPr>
              <w:t>Full Returns</w:t>
            </w:r>
          </w:p>
        </w:tc>
      </w:tr>
      <w:tr w:rsidR="008F240F" w14:paraId="4B992043" w14:textId="77777777">
        <w:tc>
          <w:tcPr>
            <w:tcW w:w="280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608E1543" w14:textId="77777777" w:rsidR="008F240F" w:rsidRDefault="00000000">
            <w:r>
              <w:rPr>
                <w:color w:val="333333"/>
                <w:sz w:val="20"/>
                <w:szCs w:val="20"/>
              </w:rPr>
              <w:t>Point Solutions (single decision enhancement)</w:t>
            </w:r>
          </w:p>
        </w:tc>
        <w:tc>
          <w:tcPr>
            <w:tcW w:w="220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45D28F12" w14:textId="77777777" w:rsidR="008F240F" w:rsidRDefault="00000000">
            <w:pPr>
              <w:jc w:val="center"/>
            </w:pPr>
            <w:r>
              <w:rPr>
                <w:color w:val="333333"/>
                <w:sz w:val="20"/>
                <w:szCs w:val="20"/>
              </w:rPr>
              <w:t>6–12 months</w:t>
            </w:r>
          </w:p>
        </w:tc>
        <w:tc>
          <w:tcPr>
            <w:tcW w:w="220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39C77650" w14:textId="77777777" w:rsidR="008F240F" w:rsidRDefault="00000000">
            <w:pPr>
              <w:jc w:val="center"/>
            </w:pPr>
            <w:r>
              <w:rPr>
                <w:color w:val="333333"/>
                <w:sz w:val="20"/>
                <w:szCs w:val="20"/>
              </w:rPr>
              <w:t>12–18 months</w:t>
            </w:r>
          </w:p>
        </w:tc>
        <w:tc>
          <w:tcPr>
            <w:tcW w:w="216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3412AD8F" w14:textId="77777777" w:rsidR="008F240F" w:rsidRDefault="00000000">
            <w:pPr>
              <w:jc w:val="center"/>
            </w:pPr>
            <w:r>
              <w:rPr>
                <w:color w:val="333333"/>
                <w:sz w:val="20"/>
                <w:szCs w:val="20"/>
              </w:rPr>
              <w:t>18–24 months</w:t>
            </w:r>
          </w:p>
        </w:tc>
      </w:tr>
      <w:tr w:rsidR="008F240F" w14:paraId="66B3D3AA"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C7797F6" w14:textId="77777777" w:rsidR="008F240F" w:rsidRDefault="00000000">
            <w:r>
              <w:rPr>
                <w:color w:val="333333"/>
                <w:sz w:val="20"/>
                <w:szCs w:val="20"/>
              </w:rPr>
              <w:t>Application Solutions (new decision capabilities)</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30D883E" w14:textId="77777777" w:rsidR="008F240F" w:rsidRDefault="00000000">
            <w:pPr>
              <w:jc w:val="center"/>
            </w:pPr>
            <w:r>
              <w:rPr>
                <w:color w:val="333333"/>
                <w:sz w:val="20"/>
                <w:szCs w:val="20"/>
              </w:rPr>
              <w:t>12–24 months</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9307E20" w14:textId="77777777" w:rsidR="008F240F" w:rsidRDefault="00000000">
            <w:pPr>
              <w:jc w:val="center"/>
            </w:pPr>
            <w:r>
              <w:rPr>
                <w:color w:val="333333"/>
                <w:sz w:val="20"/>
                <w:szCs w:val="20"/>
              </w:rPr>
              <w:t>24–36 months</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4637608" w14:textId="77777777" w:rsidR="008F240F" w:rsidRDefault="00000000">
            <w:pPr>
              <w:jc w:val="center"/>
            </w:pPr>
            <w:r>
              <w:rPr>
                <w:color w:val="333333"/>
                <w:sz w:val="20"/>
                <w:szCs w:val="20"/>
              </w:rPr>
              <w:t>36–48 months</w:t>
            </w:r>
          </w:p>
        </w:tc>
      </w:tr>
      <w:tr w:rsidR="008F240F" w14:paraId="041A1B09" w14:textId="77777777">
        <w:tc>
          <w:tcPr>
            <w:tcW w:w="280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1BCC1AE5" w14:textId="77777777" w:rsidR="008F240F" w:rsidRDefault="00000000">
            <w:r>
              <w:rPr>
                <w:color w:val="333333"/>
                <w:sz w:val="20"/>
                <w:szCs w:val="20"/>
              </w:rPr>
              <w:t>System Solutions (redesigned decision networks)</w:t>
            </w:r>
          </w:p>
        </w:tc>
        <w:tc>
          <w:tcPr>
            <w:tcW w:w="220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00307985" w14:textId="77777777" w:rsidR="008F240F" w:rsidRDefault="00000000">
            <w:pPr>
              <w:jc w:val="center"/>
            </w:pPr>
            <w:r>
              <w:rPr>
                <w:color w:val="333333"/>
                <w:sz w:val="20"/>
                <w:szCs w:val="20"/>
              </w:rPr>
              <w:t>18–36 months</w:t>
            </w:r>
          </w:p>
        </w:tc>
        <w:tc>
          <w:tcPr>
            <w:tcW w:w="220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5EB28AE1" w14:textId="77777777" w:rsidR="008F240F" w:rsidRDefault="00000000">
            <w:pPr>
              <w:jc w:val="center"/>
            </w:pPr>
            <w:r>
              <w:rPr>
                <w:color w:val="333333"/>
                <w:sz w:val="20"/>
                <w:szCs w:val="20"/>
              </w:rPr>
              <w:t>36–48 months</w:t>
            </w:r>
          </w:p>
        </w:tc>
        <w:tc>
          <w:tcPr>
            <w:tcW w:w="2160" w:type="dxa"/>
            <w:tcBorders>
              <w:top w:val="single" w:sz="1" w:space="0" w:color="CCCCCC"/>
              <w:left w:val="single" w:sz="1" w:space="0" w:color="CCCCCC"/>
              <w:bottom w:val="single" w:sz="1" w:space="0" w:color="CCCCCC"/>
              <w:right w:val="single" w:sz="1" w:space="0" w:color="CCCCCC"/>
            </w:tcBorders>
            <w:shd w:val="clear" w:color="auto" w:fill="D6E8F5"/>
            <w:tcMar>
              <w:top w:w="80" w:type="dxa"/>
              <w:left w:w="120" w:type="dxa"/>
              <w:bottom w:w="80" w:type="dxa"/>
              <w:right w:w="120" w:type="dxa"/>
            </w:tcMar>
          </w:tcPr>
          <w:p w14:paraId="0286AFFC" w14:textId="77777777" w:rsidR="008F240F" w:rsidRDefault="00000000">
            <w:pPr>
              <w:jc w:val="center"/>
            </w:pPr>
            <w:r>
              <w:rPr>
                <w:color w:val="333333"/>
                <w:sz w:val="20"/>
                <w:szCs w:val="20"/>
              </w:rPr>
              <w:t>48–72+ months</w:t>
            </w:r>
          </w:p>
        </w:tc>
      </w:tr>
    </w:tbl>
    <w:p w14:paraId="788BDC7E" w14:textId="77777777" w:rsidR="008F240F" w:rsidRDefault="008F240F">
      <w:pPr>
        <w:spacing w:before="60" w:after="60"/>
      </w:pPr>
    </w:p>
    <w:p w14:paraId="2896D5C3" w14:textId="77777777" w:rsidR="008F240F" w:rsidRDefault="00000000">
      <w:pPr>
        <w:spacing w:before="80" w:after="80" w:line="276" w:lineRule="auto"/>
      </w:pPr>
      <w:r>
        <w:rPr>
          <w:color w:val="333333"/>
        </w:rPr>
        <w:t>These estimates assume a manufacturing firm of moderate digital maturity. Digitally native firms can compress these timelines significantly. Older firms with extensive legacy systems may need to extend them. The critical point is that leadership must budget for and commit to the unprofitable period. The BCG research is emphatic: the firms that fail are those that lose patience during the descent phase of the J-curve, not those that invested poorly. The MIT research shows that firms which persist through the dip achieve outsized returns, while those that abandon projects during the critical valley period never reach the upswing.</w:t>
      </w:r>
    </w:p>
    <w:p w14:paraId="3D93581B" w14:textId="77777777" w:rsidR="008F240F" w:rsidRDefault="00000000">
      <w:pPr>
        <w:pStyle w:val="Heading1"/>
      </w:pPr>
      <w:r>
        <w:t xml:space="preserve">5. Strategic Recommendations </w:t>
      </w:r>
      <w:proofErr w:type="gramStart"/>
      <w:r>
        <w:t>by</w:t>
      </w:r>
      <w:proofErr w:type="gramEnd"/>
      <w:r>
        <w:t xml:space="preserve"> Market Position</w:t>
      </w:r>
    </w:p>
    <w:p w14:paraId="58A7DB79" w14:textId="5A993ABE" w:rsidR="008F240F" w:rsidRDefault="00000000">
      <w:pPr>
        <w:pStyle w:val="Heading2"/>
      </w:pPr>
      <w:r>
        <w:t xml:space="preserve">5.1 For Firms </w:t>
      </w:r>
      <w:r w:rsidR="00DB3F10">
        <w:t>with</w:t>
      </w:r>
      <w:r>
        <w:t xml:space="preserve"> Monopoly Power: The Schumpeterian Defense</w:t>
      </w:r>
    </w:p>
    <w:p w14:paraId="3A9B9EBA" w14:textId="03038FBA" w:rsidR="008F240F" w:rsidRDefault="00000000">
      <w:pPr>
        <w:spacing w:before="80" w:after="80" w:line="276" w:lineRule="auto"/>
      </w:pPr>
      <w:r>
        <w:rPr>
          <w:color w:val="333333"/>
        </w:rPr>
        <w:t xml:space="preserve">If your firm holds significant monopoly power, the recommended strategy is to use Prediction Machine gains primarily to reduce costs and capture savings as shareholder value, while maintaining a disciplined program of defensive innovation. Deploy </w:t>
      </w:r>
      <w:r w:rsidR="007F7F7D">
        <w:rPr>
          <w:color w:val="333333"/>
        </w:rPr>
        <w:t>Machine Prediction</w:t>
      </w:r>
      <w:r>
        <w:rPr>
          <w:color w:val="333333"/>
        </w:rPr>
        <w:t xml:space="preserve"> as point and application solutions focused on operational efficiency: predictive maintenance, demand forecasting, quality control, and process optimization. Capture the resulting cost savings as improved margins. Reinvest a targeted portion (the BCG research suggests four percent of revenue for leading firms) in system-level Prediction Machine experiments that could become the basis for the next generation of your moat. Monitor the competitive landscape for Schumpeterian attackers who may be using </w:t>
      </w:r>
      <w:r w:rsidR="007F7F7D">
        <w:rPr>
          <w:color w:val="333333"/>
        </w:rPr>
        <w:t>Machine Prediction</w:t>
      </w:r>
      <w:r>
        <w:rPr>
          <w:color w:val="333333"/>
        </w:rPr>
        <w:t xml:space="preserve"> to build system-level solutions </w:t>
      </w:r>
      <w:r>
        <w:rPr>
          <w:color w:val="333333"/>
        </w:rPr>
        <w:lastRenderedPageBreak/>
        <w:t xml:space="preserve">that could disrupt your position. Plan for an </w:t>
      </w:r>
      <w:proofErr w:type="gramStart"/>
      <w:r>
        <w:rPr>
          <w:color w:val="333333"/>
        </w:rPr>
        <w:t>eighteen to thirty-six month</w:t>
      </w:r>
      <w:proofErr w:type="gramEnd"/>
      <w:r>
        <w:rPr>
          <w:color w:val="333333"/>
        </w:rPr>
        <w:t xml:space="preserve"> J-curve on your core operational deployments and budget accordingly.</w:t>
      </w:r>
    </w:p>
    <w:p w14:paraId="7F252361" w14:textId="77777777" w:rsidR="008F240F" w:rsidRDefault="00000000">
      <w:pPr>
        <w:pStyle w:val="Heading2"/>
      </w:pPr>
      <w:r>
        <w:t>5.2 For Firms Without Monopoly Power: The Schumpeterian Attack</w:t>
      </w:r>
    </w:p>
    <w:p w14:paraId="4ECB29F6" w14:textId="0CD3663A" w:rsidR="008F240F" w:rsidRDefault="00000000">
      <w:pPr>
        <w:spacing w:before="80" w:after="80" w:line="276" w:lineRule="auto"/>
      </w:pPr>
      <w:r>
        <w:rPr>
          <w:color w:val="333333"/>
        </w:rPr>
        <w:t>If your firm operates in a competitive market, the recommended strategy is to use Prediction Machine gains to grow your position rather than to harvest cost savings. Identify the system-level Prediction Machine solutions in your industry</w:t>
      </w:r>
      <w:r w:rsidR="00FA3A93">
        <w:rPr>
          <w:color w:val="333333"/>
        </w:rPr>
        <w:t xml:space="preserve"> - </w:t>
      </w:r>
      <w:r>
        <w:rPr>
          <w:color w:val="333333"/>
        </w:rPr>
        <w:t>the equivalent of redesigning the factory for electricity rather than simply replacing the steam engine. Focus deeply on a small number of high-impact use cases (the BCG finding of 3.5 versus 6.1 is instructive). Use the gains from initial point solutions to fund the more ambitious system-level transformations. Invest aggressively in workforce upskilling; the MIT research shows this is the single strongest predictor of a shorter, shallower J-curve. Plan for a longer unprofitable period (twenty-four to forty-eight months for system solutions) and secure executive commitment upfront. The Schumpeterian reward</w:t>
      </w:r>
      <w:r w:rsidR="00FA3A93">
        <w:rPr>
          <w:color w:val="333333"/>
        </w:rPr>
        <w:t xml:space="preserve"> - </w:t>
      </w:r>
      <w:r>
        <w:rPr>
          <w:color w:val="333333"/>
        </w:rPr>
        <w:t>temporary monopoly profits from being first to deploy a truly transformative system</w:t>
      </w:r>
      <w:r w:rsidR="00FA3A93">
        <w:rPr>
          <w:color w:val="333333"/>
        </w:rPr>
        <w:t xml:space="preserve"> - </w:t>
      </w:r>
      <w:r>
        <w:rPr>
          <w:color w:val="333333"/>
        </w:rPr>
        <w:t>justifies the extended investment.</w:t>
      </w:r>
    </w:p>
    <w:p w14:paraId="6315A798" w14:textId="77777777" w:rsidR="008F240F" w:rsidRDefault="00000000">
      <w:pPr>
        <w:pStyle w:val="Heading1"/>
      </w:pPr>
      <w:r>
        <w:t>6. Managing the J-Curve: Practical Guidance</w:t>
      </w:r>
    </w:p>
    <w:p w14:paraId="50CB5B44" w14:textId="2FED95A9" w:rsidR="008F240F" w:rsidRDefault="00000000">
      <w:pPr>
        <w:spacing w:before="80" w:after="80" w:line="276" w:lineRule="auto"/>
      </w:pPr>
      <w:r>
        <w:rPr>
          <w:color w:val="333333"/>
        </w:rPr>
        <w:t xml:space="preserve">Regardless of market position, every firm deploying </w:t>
      </w:r>
      <w:r w:rsidR="007F7F7D">
        <w:rPr>
          <w:color w:val="333333"/>
        </w:rPr>
        <w:t>Machine Prediction</w:t>
      </w:r>
      <w:r>
        <w:rPr>
          <w:color w:val="333333"/>
        </w:rPr>
        <w:t xml:space="preserve"> must manage the J-curve actively. The research suggests several principles. First, set expectations explicitly. The J-curve is not a sign of failure; it is the predictable cost of building intangible capital. Present the J-curve model to the board and leadership team before deployment begins, with explicit timelines and milestones for each phase. Second, measure intangible investments. Traditional productivity metrics will show declining performance during Phase 1. Supplement these with measures of intangible capital accumulation: employees trained, processes redesigned, data pipelines built, prediction accuracy achieved. Third, stage investments deliberately. Begin with point solutions that produce quick, visible wins and shallow J-curves. Use these to build organizational confidence and capability. Then advance to application solutions and finally to system solutions, where the deeper J-curves produce the greatest eventual returns.</w:t>
      </w:r>
    </w:p>
    <w:p w14:paraId="247932DF" w14:textId="18F5AE49" w:rsidR="008F240F" w:rsidRDefault="00000000">
      <w:pPr>
        <w:spacing w:before="80" w:after="80" w:line="276" w:lineRule="auto"/>
      </w:pPr>
      <w:r>
        <w:rPr>
          <w:color w:val="333333"/>
        </w:rPr>
        <w:t>Fourth, protect the investment through the valley. The single most common failure mode, per both the MIT and BCG research, is abandoning Prediction Machine projects during the descent phase. Establish governance structures that prevent premature termination of projects that are on track for their expected J-curve trajectory. Fifth, build digital maturity first. The MIT research is unambiguous: firms that have already completed their digital transformation experience shallower J-curves and faster recoveries. If your firm lacks basic digital infrastructure</w:t>
      </w:r>
      <w:r w:rsidR="00FA3A93">
        <w:rPr>
          <w:color w:val="333333"/>
        </w:rPr>
        <w:t xml:space="preserve"> - </w:t>
      </w:r>
      <w:r>
        <w:rPr>
          <w:color w:val="333333"/>
        </w:rPr>
        <w:t>reliable data, connected systems, a workforce comfortable with digital tools</w:t>
      </w:r>
      <w:r w:rsidR="00FA3A93">
        <w:rPr>
          <w:color w:val="333333"/>
        </w:rPr>
        <w:t xml:space="preserve"> - </w:t>
      </w:r>
      <w:r>
        <w:rPr>
          <w:color w:val="333333"/>
        </w:rPr>
        <w:t>invest in these foundations before pursuing ambitious Prediction Machine deployments. Sixth, start small, prove value, train the people, scale what works. This principle, while simple, is the empirically validated path through the J-curve. The firms that succeed are those that build capability incrementally, learn from focused deployments, and then scale proven solutions across the organization.</w:t>
      </w:r>
    </w:p>
    <w:p w14:paraId="58A14F74" w14:textId="77777777" w:rsidR="008F240F" w:rsidRDefault="00000000">
      <w:pPr>
        <w:pStyle w:val="Heading1"/>
      </w:pPr>
      <w:r>
        <w:t>7. Conclusion: Prediction, Destruction, and Value</w:t>
      </w:r>
    </w:p>
    <w:p w14:paraId="3F72090E" w14:textId="31E6A21E" w:rsidR="008F240F" w:rsidRDefault="00000000">
      <w:pPr>
        <w:spacing w:before="80" w:after="80" w:line="276" w:lineRule="auto"/>
      </w:pPr>
      <w:r>
        <w:rPr>
          <w:color w:val="333333"/>
        </w:rPr>
        <w:lastRenderedPageBreak/>
        <w:t xml:space="preserve">Schumpeter taught us that capitalism advances through creative destruction, that monopoly profits are the temporary reward for successful innovation, and that the competitive process is driven not by price competition but by the introduction of new products, processes, and organizational forms. The MIT J-curve research confirms that </w:t>
      </w:r>
      <w:r w:rsidR="007F7F7D">
        <w:rPr>
          <w:color w:val="333333"/>
        </w:rPr>
        <w:t>Machine Prediction</w:t>
      </w:r>
      <w:r>
        <w:rPr>
          <w:color w:val="333333"/>
        </w:rPr>
        <w:t xml:space="preserve">, like all general-purpose technologies before them, impose significant adjustment costs before delivering transformative gains. The Agrawal, Gans, and Goldfarb framework shows us that the key to capturing value is understanding what </w:t>
      </w:r>
      <w:r w:rsidR="007F7F7D">
        <w:rPr>
          <w:color w:val="333333"/>
        </w:rPr>
        <w:t>Machine Prediction</w:t>
      </w:r>
      <w:r>
        <w:rPr>
          <w:color w:val="333333"/>
        </w:rPr>
        <w:t xml:space="preserve"> </w:t>
      </w:r>
      <w:proofErr w:type="gramStart"/>
      <w:r>
        <w:rPr>
          <w:color w:val="333333"/>
        </w:rPr>
        <w:t>actually do</w:t>
      </w:r>
      <w:proofErr w:type="gramEnd"/>
      <w:r w:rsidR="00FA3A93">
        <w:rPr>
          <w:color w:val="333333"/>
        </w:rPr>
        <w:t xml:space="preserve"> - </w:t>
      </w:r>
      <w:r>
        <w:rPr>
          <w:color w:val="333333"/>
        </w:rPr>
        <w:t>they make predictions cheap—and then systematically identifying where cheap predictions can reshape the decisions that drive your business.</w:t>
      </w:r>
    </w:p>
    <w:p w14:paraId="14D237DA" w14:textId="28635990" w:rsidR="008F240F" w:rsidRDefault="00000000">
      <w:pPr>
        <w:spacing w:before="80" w:after="80" w:line="276" w:lineRule="auto"/>
      </w:pPr>
      <w:r>
        <w:rPr>
          <w:color w:val="333333"/>
        </w:rPr>
        <w:t>The strategic question</w:t>
      </w:r>
      <w:r w:rsidR="00FA3A93">
        <w:rPr>
          <w:color w:val="333333"/>
        </w:rPr>
        <w:t xml:space="preserve"> - </w:t>
      </w:r>
      <w:r>
        <w:rPr>
          <w:color w:val="333333"/>
        </w:rPr>
        <w:t>cut costs or grow</w:t>
      </w:r>
      <w:r w:rsidR="00FA3A93">
        <w:rPr>
          <w:color w:val="333333"/>
        </w:rPr>
        <w:t xml:space="preserve"> - </w:t>
      </w:r>
      <w:r>
        <w:rPr>
          <w:color w:val="333333"/>
        </w:rPr>
        <w:t>is answered by your position in the Schumpeterian landscape. Monopolists defend. Competitors attack. Both must navigate the J-curve with patience, discipline, and a clear understanding that the initial decline in measured performance is not a failure of the technology but the cost of building the intangible capital that will power the acceleration to come.</w:t>
      </w:r>
    </w:p>
    <w:p w14:paraId="5FB570E6" w14:textId="77777777" w:rsidR="008F240F" w:rsidRDefault="00000000">
      <w:pPr>
        <w:spacing w:before="80" w:after="80" w:line="276" w:lineRule="auto"/>
      </w:pPr>
      <w:r>
        <w:rPr>
          <w:color w:val="333333"/>
        </w:rPr>
        <w:t>The firms that will dominate the next decade are those that understand this framework, commit to the investment timeline it implies, and execute with the focused discipline that separates the four percent who create substantial value from the ninety-six percent who do not. The gale of creative destruction is blowing. The only question is whether your firm will ride it or be swept away by it.</w:t>
      </w:r>
    </w:p>
    <w:p w14:paraId="4EB90511" w14:textId="77777777" w:rsidR="008F240F" w:rsidRDefault="008F240F">
      <w:pPr>
        <w:spacing w:before="200" w:after="200"/>
      </w:pPr>
    </w:p>
    <w:p w14:paraId="2B042B07" w14:textId="77777777" w:rsidR="008F240F" w:rsidRDefault="00000000">
      <w:pPr>
        <w:pStyle w:val="Heading1"/>
        <w:pBdr>
          <w:top w:val="single" w:sz="6" w:space="4" w:color="2E75B6"/>
        </w:pBdr>
      </w:pPr>
      <w:r>
        <w:t>References</w:t>
      </w:r>
    </w:p>
    <w:p w14:paraId="59F37AD1" w14:textId="77777777" w:rsidR="008F240F" w:rsidRDefault="00000000">
      <w:pPr>
        <w:spacing w:before="80" w:after="80" w:line="276" w:lineRule="auto"/>
      </w:pPr>
      <w:r>
        <w:rPr>
          <w:color w:val="333333"/>
        </w:rPr>
        <w:t xml:space="preserve">Agrawal, A., Gans, J., &amp; Goldfarb, A. (2018). </w:t>
      </w:r>
      <w:r>
        <w:rPr>
          <w:i/>
          <w:iCs/>
          <w:color w:val="333333"/>
        </w:rPr>
        <w:t>Prediction Machines: The Simple Economics of Artificial Intelligence.</w:t>
      </w:r>
      <w:r>
        <w:rPr>
          <w:color w:val="333333"/>
        </w:rPr>
        <w:t xml:space="preserve"> Harvard Business Review Press.</w:t>
      </w:r>
    </w:p>
    <w:p w14:paraId="6CBB8482" w14:textId="77777777" w:rsidR="008F240F" w:rsidRDefault="00000000">
      <w:pPr>
        <w:spacing w:before="80" w:after="80" w:line="276" w:lineRule="auto"/>
      </w:pPr>
      <w:r>
        <w:rPr>
          <w:color w:val="333333"/>
        </w:rPr>
        <w:t xml:space="preserve">Agrawal, A., Gans, J., &amp; Goldfarb, A. (2022). </w:t>
      </w:r>
      <w:r>
        <w:rPr>
          <w:i/>
          <w:iCs/>
          <w:color w:val="333333"/>
        </w:rPr>
        <w:t>Power and Prediction: The Disruptive Economics of Artificial Intelligence.</w:t>
      </w:r>
      <w:r>
        <w:rPr>
          <w:color w:val="333333"/>
        </w:rPr>
        <w:t xml:space="preserve"> Harvard Business Review Press.</w:t>
      </w:r>
    </w:p>
    <w:p w14:paraId="70D74E3C" w14:textId="77777777" w:rsidR="008F240F" w:rsidRDefault="00000000">
      <w:pPr>
        <w:spacing w:before="80" w:after="80" w:line="276" w:lineRule="auto"/>
      </w:pPr>
      <w:r>
        <w:rPr>
          <w:color w:val="333333"/>
        </w:rPr>
        <w:t xml:space="preserve">Brynjolfsson, E., Rock, D., &amp; Syverson, C. (2021). “The Productivity J-Curve: How Intangibles Complement General Purpose Technologies.” </w:t>
      </w:r>
      <w:r>
        <w:rPr>
          <w:i/>
          <w:iCs/>
          <w:color w:val="333333"/>
        </w:rPr>
        <w:t>American Economic Journal: Macroeconomics, 13(1),</w:t>
      </w:r>
      <w:r>
        <w:rPr>
          <w:color w:val="333333"/>
        </w:rPr>
        <w:t xml:space="preserve"> 333–372.</w:t>
      </w:r>
    </w:p>
    <w:p w14:paraId="0EE139ED" w14:textId="77777777" w:rsidR="008F240F" w:rsidRDefault="00000000">
      <w:pPr>
        <w:spacing w:before="80" w:after="80" w:line="276" w:lineRule="auto"/>
      </w:pPr>
      <w:r>
        <w:rPr>
          <w:color w:val="333333"/>
        </w:rPr>
        <w:t xml:space="preserve">McElheran, K., Li, J. F., Brynjolfsson, E., Kroff, Z., </w:t>
      </w:r>
      <w:proofErr w:type="spellStart"/>
      <w:r>
        <w:rPr>
          <w:color w:val="333333"/>
        </w:rPr>
        <w:t>Dinlersoz</w:t>
      </w:r>
      <w:proofErr w:type="spellEnd"/>
      <w:r>
        <w:rPr>
          <w:color w:val="333333"/>
        </w:rPr>
        <w:t xml:space="preserve">, E., Foster, L., &amp; Zolas, N. (2025). “The Rise of Industrial AI in America: </w:t>
      </w:r>
      <w:proofErr w:type="spellStart"/>
      <w:r>
        <w:rPr>
          <w:color w:val="333333"/>
        </w:rPr>
        <w:t>Microfoundations</w:t>
      </w:r>
      <w:proofErr w:type="spellEnd"/>
      <w:r>
        <w:rPr>
          <w:color w:val="333333"/>
        </w:rPr>
        <w:t xml:space="preserve"> of the Productivity J-Curve(s).” </w:t>
      </w:r>
      <w:r>
        <w:rPr>
          <w:i/>
          <w:iCs/>
          <w:color w:val="333333"/>
        </w:rPr>
        <w:t>MIT Initiative on the Digital Economy Working Paper.</w:t>
      </w:r>
    </w:p>
    <w:p w14:paraId="717802C0" w14:textId="77777777" w:rsidR="008F240F" w:rsidRDefault="00000000">
      <w:pPr>
        <w:spacing w:before="80" w:after="80" w:line="276" w:lineRule="auto"/>
      </w:pPr>
      <w:r>
        <w:rPr>
          <w:color w:val="333333"/>
        </w:rPr>
        <w:t xml:space="preserve">Schumpeter, J. A. (1942). </w:t>
      </w:r>
      <w:r>
        <w:rPr>
          <w:i/>
          <w:iCs/>
          <w:color w:val="333333"/>
        </w:rPr>
        <w:t>Capitalism, Socialism and Democracy.</w:t>
      </w:r>
      <w:r>
        <w:rPr>
          <w:color w:val="333333"/>
        </w:rPr>
        <w:t xml:space="preserve"> Harper &amp; Brothers.</w:t>
      </w:r>
    </w:p>
    <w:p w14:paraId="240E6ECC" w14:textId="77777777" w:rsidR="008F240F" w:rsidRDefault="00000000">
      <w:pPr>
        <w:spacing w:before="80" w:after="80" w:line="276" w:lineRule="auto"/>
        <w:rPr>
          <w:i/>
          <w:iCs/>
          <w:color w:val="333333"/>
        </w:rPr>
      </w:pPr>
      <w:r>
        <w:rPr>
          <w:color w:val="333333"/>
        </w:rPr>
        <w:t xml:space="preserve">Boston Consulting Group. (2024). “Where’s the Value in AI?” </w:t>
      </w:r>
      <w:r>
        <w:rPr>
          <w:i/>
          <w:iCs/>
          <w:color w:val="333333"/>
        </w:rPr>
        <w:t>BCG Global.</w:t>
      </w:r>
    </w:p>
    <w:p w14:paraId="0349F3A9" w14:textId="0FE16955" w:rsidR="007D2DDF" w:rsidRDefault="007D2DDF">
      <w:pPr>
        <w:spacing w:before="80" w:after="80" w:line="276" w:lineRule="auto"/>
      </w:pPr>
      <w:r w:rsidRPr="007D2DDF">
        <w:t>Boston Consulting Group. (2025). "From Potential to Profit: Closing the AI Impact Gap." BCG Global.</w:t>
      </w:r>
    </w:p>
    <w:p w14:paraId="20A11777" w14:textId="09CAC4DF" w:rsidR="00543139" w:rsidRPr="007D2DDF" w:rsidRDefault="00543139">
      <w:pPr>
        <w:spacing w:before="80" w:after="80" w:line="276" w:lineRule="auto"/>
      </w:pPr>
      <w:r w:rsidRPr="00543139">
        <w:t>Boston Consulting Group. (2023). "Scaling AI Pays Off, No Matter the Investment." BCG Global.</w:t>
      </w:r>
    </w:p>
    <w:sectPr w:rsidR="00543139" w:rsidRPr="007D2DDF">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F1B09" w14:textId="77777777" w:rsidR="00667E8E" w:rsidRDefault="00667E8E">
      <w:r>
        <w:separator/>
      </w:r>
    </w:p>
  </w:endnote>
  <w:endnote w:type="continuationSeparator" w:id="0">
    <w:p w14:paraId="174C87FE" w14:textId="77777777" w:rsidR="00667E8E" w:rsidRDefault="00667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CDB8F" w14:textId="77777777" w:rsidR="008F240F" w:rsidRDefault="00000000">
    <w:pPr>
      <w:pBdr>
        <w:top w:val="single" w:sz="4" w:space="1" w:color="2E75B6"/>
      </w:pBdr>
      <w:spacing w:before="120"/>
      <w:jc w:val="center"/>
    </w:pPr>
    <w:r>
      <w:rPr>
        <w:color w:val="666666"/>
        <w:sz w:val="16"/>
        <w:szCs w:val="16"/>
      </w:rPr>
      <w:t xml:space="preserve">Page </w:t>
    </w:r>
    <w:r>
      <w:rPr>
        <w:color w:val="666666"/>
        <w:sz w:val="16"/>
        <w:szCs w:val="16"/>
      </w:rPr>
      <w:fldChar w:fldCharType="begin"/>
    </w:r>
    <w:r>
      <w:rPr>
        <w:color w:val="666666"/>
        <w:sz w:val="16"/>
        <w:szCs w:val="16"/>
      </w:rPr>
      <w:instrText>PAGE</w:instrText>
    </w:r>
    <w:r>
      <w:rPr>
        <w:color w:val="666666"/>
        <w:sz w:val="16"/>
        <w:szCs w:val="16"/>
      </w:rPr>
      <w:fldChar w:fldCharType="separate"/>
    </w:r>
    <w:r w:rsidR="003020CD">
      <w:rPr>
        <w:noProof/>
        <w:color w:val="666666"/>
        <w:sz w:val="16"/>
        <w:szCs w:val="16"/>
      </w:rPr>
      <w:t>1</w:t>
    </w:r>
    <w:r>
      <w:rPr>
        <w:color w:val="66666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3ACA9" w14:textId="77777777" w:rsidR="00667E8E" w:rsidRDefault="00667E8E">
      <w:r>
        <w:separator/>
      </w:r>
    </w:p>
  </w:footnote>
  <w:footnote w:type="continuationSeparator" w:id="0">
    <w:p w14:paraId="27B40706" w14:textId="77777777" w:rsidR="00667E8E" w:rsidRDefault="00667E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81C9E" w14:textId="77777777" w:rsidR="008F240F" w:rsidRDefault="00000000">
    <w:pPr>
      <w:pBdr>
        <w:bottom w:val="single" w:sz="6" w:space="1" w:color="2E75B6"/>
      </w:pBdr>
      <w:spacing w:after="120"/>
    </w:pPr>
    <w:r>
      <w:rPr>
        <w:i/>
        <w:iCs/>
        <w:color w:val="666666"/>
        <w:sz w:val="16"/>
        <w:szCs w:val="16"/>
      </w:rPr>
      <w:t>Strategic Framework: Prediction Machines, Creative Destruction, and the Productivity J-Curve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46297"/>
    <w:multiLevelType w:val="hybridMultilevel"/>
    <w:tmpl w:val="63149246"/>
    <w:lvl w:ilvl="0" w:tplc="ED2A2CC2">
      <w:start w:val="1"/>
      <w:numFmt w:val="bullet"/>
      <w:lvlText w:val="●"/>
      <w:lvlJc w:val="left"/>
      <w:pPr>
        <w:ind w:left="720" w:hanging="360"/>
      </w:pPr>
    </w:lvl>
    <w:lvl w:ilvl="1" w:tplc="8208E0B8">
      <w:start w:val="1"/>
      <w:numFmt w:val="bullet"/>
      <w:lvlText w:val="○"/>
      <w:lvlJc w:val="left"/>
      <w:pPr>
        <w:ind w:left="1440" w:hanging="360"/>
      </w:pPr>
    </w:lvl>
    <w:lvl w:ilvl="2" w:tplc="7924F3A8">
      <w:start w:val="1"/>
      <w:numFmt w:val="bullet"/>
      <w:lvlText w:val="■"/>
      <w:lvlJc w:val="left"/>
      <w:pPr>
        <w:ind w:left="2160" w:hanging="360"/>
      </w:pPr>
    </w:lvl>
    <w:lvl w:ilvl="3" w:tplc="0C985D1E">
      <w:start w:val="1"/>
      <w:numFmt w:val="bullet"/>
      <w:lvlText w:val="●"/>
      <w:lvlJc w:val="left"/>
      <w:pPr>
        <w:ind w:left="2880" w:hanging="360"/>
      </w:pPr>
    </w:lvl>
    <w:lvl w:ilvl="4" w:tplc="D8C805A6">
      <w:start w:val="1"/>
      <w:numFmt w:val="bullet"/>
      <w:lvlText w:val="○"/>
      <w:lvlJc w:val="left"/>
      <w:pPr>
        <w:ind w:left="3600" w:hanging="360"/>
      </w:pPr>
    </w:lvl>
    <w:lvl w:ilvl="5" w:tplc="10A632D4">
      <w:start w:val="1"/>
      <w:numFmt w:val="bullet"/>
      <w:lvlText w:val="■"/>
      <w:lvlJc w:val="left"/>
      <w:pPr>
        <w:ind w:left="4320" w:hanging="360"/>
      </w:pPr>
    </w:lvl>
    <w:lvl w:ilvl="6" w:tplc="7A9A0CB2">
      <w:start w:val="1"/>
      <w:numFmt w:val="bullet"/>
      <w:lvlText w:val="●"/>
      <w:lvlJc w:val="left"/>
      <w:pPr>
        <w:ind w:left="5040" w:hanging="360"/>
      </w:pPr>
    </w:lvl>
    <w:lvl w:ilvl="7" w:tplc="8BC20FD2">
      <w:start w:val="1"/>
      <w:numFmt w:val="bullet"/>
      <w:lvlText w:val="●"/>
      <w:lvlJc w:val="left"/>
      <w:pPr>
        <w:ind w:left="5760" w:hanging="360"/>
      </w:pPr>
    </w:lvl>
    <w:lvl w:ilvl="8" w:tplc="68A60352">
      <w:start w:val="1"/>
      <w:numFmt w:val="bullet"/>
      <w:lvlText w:val="●"/>
      <w:lvlJc w:val="left"/>
      <w:pPr>
        <w:ind w:left="6480" w:hanging="360"/>
      </w:pPr>
    </w:lvl>
  </w:abstractNum>
  <w:num w:numId="1" w16cid:durableId="168042962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40F"/>
    <w:rsid w:val="00037D30"/>
    <w:rsid w:val="000B6CAA"/>
    <w:rsid w:val="0012694D"/>
    <w:rsid w:val="001E4F23"/>
    <w:rsid w:val="003020CD"/>
    <w:rsid w:val="00543139"/>
    <w:rsid w:val="005D3258"/>
    <w:rsid w:val="00667E8E"/>
    <w:rsid w:val="007D2DDF"/>
    <w:rsid w:val="007F7F7D"/>
    <w:rsid w:val="00824867"/>
    <w:rsid w:val="0087389F"/>
    <w:rsid w:val="008F240F"/>
    <w:rsid w:val="009254EC"/>
    <w:rsid w:val="00B52523"/>
    <w:rsid w:val="00CD613B"/>
    <w:rsid w:val="00D45B03"/>
    <w:rsid w:val="00DB3F10"/>
    <w:rsid w:val="00FA3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575EB"/>
  <w15:docId w15:val="{30765C16-0DBE-49B4-B77D-85722AC21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B3A5C"/>
      <w:sz w:val="36"/>
      <w:szCs w:val="36"/>
    </w:rPr>
  </w:style>
  <w:style w:type="paragraph" w:styleId="Heading2">
    <w:name w:val="heading 2"/>
    <w:uiPriority w:val="9"/>
    <w:unhideWhenUsed/>
    <w:qFormat/>
    <w:pPr>
      <w:spacing w:before="280" w:after="160"/>
      <w:outlineLvl w:val="1"/>
    </w:pPr>
    <w:rPr>
      <w:b/>
      <w:bCs/>
      <w:color w:val="2E75B6"/>
      <w:sz w:val="28"/>
      <w:szCs w:val="28"/>
    </w:rPr>
  </w:style>
  <w:style w:type="paragraph" w:styleId="Heading3">
    <w:name w:val="heading 3"/>
    <w:uiPriority w:val="9"/>
    <w:unhideWhenUsed/>
    <w:qFormat/>
    <w:pPr>
      <w:spacing w:before="200" w:after="120"/>
      <w:outlineLvl w:val="2"/>
    </w:pPr>
    <w:rPr>
      <w:b/>
      <w:bCs/>
      <w:color w:val="333333"/>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5969</TotalTime>
  <Pages>8</Pages>
  <Words>3533</Words>
  <Characters>20143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John Tocado</cp:lastModifiedBy>
  <cp:revision>5</cp:revision>
  <dcterms:created xsi:type="dcterms:W3CDTF">2026-02-22T15:44:00Z</dcterms:created>
  <dcterms:modified xsi:type="dcterms:W3CDTF">2026-03-29T22:41:00Z</dcterms:modified>
</cp:coreProperties>
</file>